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3AD7" w14:textId="54D7E1CE" w:rsidR="000A4799" w:rsidRPr="005420F9" w:rsidRDefault="00552821" w:rsidP="00552821">
      <w:pPr>
        <w:jc w:val="center"/>
        <w:rPr>
          <w:rStyle w:val="normaltextrun"/>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Key Resource</w:t>
      </w:r>
      <w:r>
        <w:rPr>
          <w:rStyle w:val="normaltextrun"/>
          <w:rFonts w:ascii="Arial" w:hAnsi="Arial" w:cs="Arial"/>
          <w:b/>
          <w:bCs/>
          <w:color w:val="000000"/>
          <w:sz w:val="28"/>
          <w:szCs w:val="28"/>
          <w:shd w:val="clear" w:color="auto" w:fill="FFFFFF"/>
        </w:rPr>
        <w:t xml:space="preserve"> </w:t>
      </w:r>
      <w:r w:rsidR="005420F9">
        <w:rPr>
          <w:rStyle w:val="normaltextrun"/>
          <w:rFonts w:ascii="Arial" w:hAnsi="Arial" w:cs="Arial"/>
          <w:b/>
          <w:bCs/>
          <w:color w:val="000000"/>
          <w:sz w:val="28"/>
          <w:szCs w:val="28"/>
          <w:shd w:val="clear" w:color="auto" w:fill="FFFFFF"/>
        </w:rPr>
        <w:t>7</w:t>
      </w:r>
    </w:p>
    <w:p w14:paraId="2DD06EA6" w14:textId="77777777" w:rsidR="00552821" w:rsidRDefault="00552821" w:rsidP="00552821">
      <w:pPr>
        <w:rPr>
          <w:rStyle w:val="normaltextrun"/>
          <w:rFonts w:ascii="Arial" w:hAnsi="Arial" w:cs="Arial"/>
          <w:b/>
          <w:bCs/>
          <w:color w:val="000000"/>
          <w:sz w:val="28"/>
          <w:szCs w:val="28"/>
          <w:shd w:val="clear" w:color="auto" w:fill="FFFFFF"/>
          <w:lang w:val="en-GB"/>
        </w:rPr>
      </w:pPr>
    </w:p>
    <w:p w14:paraId="234D13E7" w14:textId="4692D1BC" w:rsidR="00552821" w:rsidRDefault="005420F9" w:rsidP="00552821">
      <w:pPr>
        <w:rPr>
          <w:rStyle w:val="normaltextrun"/>
          <w:rFonts w:ascii="Arial" w:hAnsi="Arial" w:cs="Arial"/>
          <w:b/>
          <w:bCs/>
          <w:color w:val="000000"/>
          <w:sz w:val="28"/>
          <w:szCs w:val="28"/>
          <w:u w:val="single"/>
          <w:shd w:val="clear" w:color="auto" w:fill="FFFFFF"/>
          <w:lang w:val="en-GB"/>
        </w:rPr>
      </w:pPr>
      <w:r>
        <w:rPr>
          <w:rStyle w:val="normaltextrun"/>
          <w:rFonts w:ascii="Arial" w:hAnsi="Arial" w:cs="Arial"/>
          <w:b/>
          <w:bCs/>
          <w:color w:val="000000"/>
          <w:sz w:val="28"/>
          <w:szCs w:val="28"/>
          <w:u w:val="single"/>
          <w:shd w:val="clear" w:color="auto" w:fill="FFFFFF"/>
          <w:lang w:val="en-GB"/>
        </w:rPr>
        <w:t>Glossary</w:t>
      </w:r>
    </w:p>
    <w:p w14:paraId="4E6A40A0" w14:textId="77777777" w:rsidR="005420F9" w:rsidRDefault="005420F9" w:rsidP="00552821">
      <w:pPr>
        <w:rPr>
          <w:rStyle w:val="normaltextrun"/>
          <w:rFonts w:ascii="Arial" w:hAnsi="Arial" w:cs="Arial"/>
          <w:b/>
          <w:bCs/>
          <w:color w:val="000000"/>
          <w:sz w:val="26"/>
          <w:szCs w:val="26"/>
          <w:shd w:val="clear" w:color="auto" w:fill="FFFFFF"/>
          <w:lang w:val="en-GB"/>
        </w:rPr>
      </w:pPr>
    </w:p>
    <w:p w14:paraId="609414BC"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normaltextrun"/>
          <w:rFonts w:ascii="Arial" w:hAnsi="Arial" w:cs="Arial"/>
          <w:b/>
          <w:bCs/>
          <w:lang w:val="en-GB"/>
        </w:rPr>
        <w:t>Access intimacy</w:t>
      </w:r>
      <w:r w:rsidRPr="005420F9">
        <w:rPr>
          <w:rStyle w:val="normaltextrun"/>
          <w:rFonts w:ascii="Arial" w:hAnsi="Arial" w:cs="Arial"/>
          <w:lang w:val="en-GB"/>
        </w:rPr>
        <w:t xml:space="preserve"> | Access intimacy, coined by disability justice activist </w:t>
      </w:r>
      <w:hyperlink r:id="rId7" w:tgtFrame="_blank" w:history="1">
        <w:r w:rsidRPr="005420F9">
          <w:rPr>
            <w:rStyle w:val="normaltextrun"/>
            <w:rFonts w:ascii="Arial" w:hAnsi="Arial" w:cs="Arial"/>
            <w:color w:val="0E2345"/>
            <w:u w:val="single"/>
            <w:lang w:val="en-GB"/>
          </w:rPr>
          <w:t>Mia Mingus</w:t>
        </w:r>
      </w:hyperlink>
      <w:r w:rsidRPr="005420F9">
        <w:rPr>
          <w:rStyle w:val="normaltextrun"/>
          <w:rFonts w:ascii="Arial" w:hAnsi="Arial" w:cs="Arial"/>
          <w:lang w:val="en-GB"/>
        </w:rPr>
        <w:t>, is the feeling of intimacy and connection that occurs when we communicate our access needs to someone (or several people), and the other person or people listen to what we have to say and meet our needs. Understand that not everyone will want to share their access needs at first, or at all, in the process of teaching and learning. </w:t>
      </w:r>
      <w:r w:rsidRPr="005420F9">
        <w:rPr>
          <w:rStyle w:val="eop"/>
          <w:rFonts w:ascii="Arial" w:hAnsi="Arial" w:cs="Arial"/>
        </w:rPr>
        <w:t> </w:t>
      </w:r>
    </w:p>
    <w:p w14:paraId="2BEC57C6" w14:textId="77777777" w:rsidR="005420F9" w:rsidRPr="005420F9" w:rsidRDefault="005420F9" w:rsidP="005420F9">
      <w:pPr>
        <w:pStyle w:val="paragraph"/>
        <w:spacing w:before="0" w:beforeAutospacing="0" w:after="0" w:afterAutospacing="0" w:line="360" w:lineRule="auto"/>
        <w:ind w:left="360"/>
        <w:textAlignment w:val="baseline"/>
        <w:rPr>
          <w:rFonts w:ascii="Segoe UI" w:hAnsi="Segoe UI" w:cs="Segoe UI"/>
        </w:rPr>
      </w:pPr>
      <w:r w:rsidRPr="005420F9">
        <w:rPr>
          <w:rStyle w:val="eop"/>
          <w:rFonts w:ascii="Arial" w:hAnsi="Arial" w:cs="Arial"/>
        </w:rPr>
        <w:t> </w:t>
      </w:r>
    </w:p>
    <w:p w14:paraId="24F01ADA"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normaltextrun"/>
          <w:rFonts w:ascii="Arial" w:hAnsi="Arial" w:cs="Arial"/>
          <w:b/>
          <w:bCs/>
          <w:lang w:val="en-GB"/>
        </w:rPr>
        <w:t>Accommodations</w:t>
      </w:r>
      <w:r w:rsidRPr="005420F9">
        <w:rPr>
          <w:rStyle w:val="normaltextrun"/>
          <w:rFonts w:ascii="Arial" w:hAnsi="Arial" w:cs="Arial"/>
          <w:b/>
          <w:bCs/>
        </w:rPr>
        <w:t xml:space="preserve"> / </w:t>
      </w:r>
      <w:r w:rsidRPr="005420F9">
        <w:rPr>
          <w:rStyle w:val="normaltextrun"/>
          <w:rFonts w:ascii="Arial" w:hAnsi="Arial" w:cs="Arial"/>
          <w:b/>
          <w:bCs/>
          <w:lang w:val="en-GB"/>
        </w:rPr>
        <w:t>adjustments</w:t>
      </w:r>
      <w:r w:rsidRPr="005420F9">
        <w:rPr>
          <w:rStyle w:val="normaltextrun"/>
          <w:rFonts w:ascii="Arial" w:hAnsi="Arial" w:cs="Arial"/>
          <w:b/>
          <w:bCs/>
        </w:rPr>
        <w:t xml:space="preserve"> </w:t>
      </w:r>
      <w:r w:rsidRPr="005420F9">
        <w:rPr>
          <w:rStyle w:val="normaltextrun"/>
          <w:rFonts w:ascii="Arial" w:hAnsi="Arial" w:cs="Arial"/>
          <w:lang w:val="en-GB"/>
        </w:rPr>
        <w:t>| Changes we make for other people, so that they can participate in an activity.</w:t>
      </w:r>
      <w:r w:rsidRPr="005420F9">
        <w:rPr>
          <w:rStyle w:val="eop"/>
          <w:rFonts w:ascii="Arial" w:hAnsi="Arial" w:cs="Arial"/>
        </w:rPr>
        <w:t> </w:t>
      </w:r>
    </w:p>
    <w:p w14:paraId="2A42E175" w14:textId="77777777" w:rsidR="005420F9" w:rsidRPr="005420F9" w:rsidRDefault="005420F9" w:rsidP="005420F9">
      <w:pPr>
        <w:pStyle w:val="paragraph"/>
        <w:spacing w:before="0" w:beforeAutospacing="0" w:after="0" w:afterAutospacing="0" w:line="360" w:lineRule="auto"/>
        <w:ind w:left="360"/>
        <w:textAlignment w:val="baseline"/>
        <w:rPr>
          <w:rFonts w:ascii="Segoe UI" w:hAnsi="Segoe UI" w:cs="Segoe UI"/>
        </w:rPr>
      </w:pPr>
      <w:r w:rsidRPr="005420F9">
        <w:rPr>
          <w:rStyle w:val="eop"/>
          <w:rFonts w:ascii="Arial" w:hAnsi="Arial" w:cs="Arial"/>
        </w:rPr>
        <w:t> </w:t>
      </w:r>
    </w:p>
    <w:p w14:paraId="62D00B2F"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normaltextrun"/>
          <w:rFonts w:ascii="Arial" w:hAnsi="Arial" w:cs="Arial"/>
          <w:b/>
          <w:bCs/>
          <w:lang w:val="en-GB"/>
        </w:rPr>
        <w:t xml:space="preserve">Burnout </w:t>
      </w:r>
      <w:r w:rsidRPr="005420F9">
        <w:rPr>
          <w:rStyle w:val="normaltextrun"/>
          <w:rFonts w:ascii="Arial" w:hAnsi="Arial" w:cs="Arial"/>
          <w:lang w:val="en-GB"/>
        </w:rPr>
        <w:t>| Being physically and emotionally drained, often as a result of overwork, not enough rest, not enough time to be one’s authentic self, and too much masking or social time around other people.</w:t>
      </w:r>
      <w:r w:rsidRPr="005420F9">
        <w:rPr>
          <w:rStyle w:val="eop"/>
          <w:rFonts w:ascii="Arial" w:hAnsi="Arial" w:cs="Arial"/>
        </w:rPr>
        <w:t> </w:t>
      </w:r>
    </w:p>
    <w:p w14:paraId="624A076D" w14:textId="77777777" w:rsidR="005420F9" w:rsidRPr="005420F9" w:rsidRDefault="005420F9" w:rsidP="005420F9">
      <w:pPr>
        <w:pStyle w:val="paragraph"/>
        <w:spacing w:before="0" w:beforeAutospacing="0" w:after="0" w:afterAutospacing="0" w:line="360" w:lineRule="auto"/>
        <w:ind w:left="360"/>
        <w:textAlignment w:val="baseline"/>
        <w:rPr>
          <w:rFonts w:ascii="Segoe UI" w:hAnsi="Segoe UI" w:cs="Segoe UI"/>
        </w:rPr>
      </w:pPr>
      <w:r w:rsidRPr="005420F9">
        <w:rPr>
          <w:rStyle w:val="eop"/>
          <w:rFonts w:ascii="Arial" w:hAnsi="Arial" w:cs="Arial"/>
        </w:rPr>
        <w:t> </w:t>
      </w:r>
    </w:p>
    <w:p w14:paraId="4D0BDC61" w14:textId="21113DAE" w:rsidR="005420F9" w:rsidRPr="00317DB5" w:rsidRDefault="005420F9" w:rsidP="005420F9">
      <w:pPr>
        <w:pStyle w:val="paragraph"/>
        <w:spacing w:before="0" w:beforeAutospacing="0" w:after="0" w:afterAutospacing="0" w:line="360" w:lineRule="auto"/>
        <w:textAlignment w:val="baseline"/>
        <w:rPr>
          <w:rFonts w:ascii="Segoe UI" w:hAnsi="Segoe UI" w:cs="Segoe UI"/>
        </w:rPr>
      </w:pPr>
      <w:hyperlink r:id="rId8" w:tgtFrame="_blank" w:history="1">
        <w:r w:rsidRPr="005420F9">
          <w:rPr>
            <w:rStyle w:val="normaltextrun"/>
            <w:rFonts w:ascii="Arial" w:hAnsi="Arial" w:cs="Arial"/>
            <w:b/>
            <w:bCs/>
            <w:color w:val="0E2345"/>
            <w:u w:val="single"/>
            <w:lang w:val="en-GB"/>
          </w:rPr>
          <w:t>Disability Advisory Service</w:t>
        </w:r>
      </w:hyperlink>
      <w:r w:rsidRPr="005420F9">
        <w:rPr>
          <w:rStyle w:val="normaltextrun"/>
          <w:rFonts w:ascii="Arial" w:hAnsi="Arial" w:cs="Arial"/>
          <w:b/>
          <w:bCs/>
          <w:lang w:val="en-GB"/>
        </w:rPr>
        <w:t xml:space="preserve"> (DAS)</w:t>
      </w:r>
      <w:r w:rsidRPr="005420F9">
        <w:rPr>
          <w:rStyle w:val="normaltextrun"/>
          <w:rFonts w:ascii="Arial" w:hAnsi="Arial" w:cs="Arial"/>
          <w:lang w:val="en-GB"/>
        </w:rPr>
        <w:t xml:space="preserve"> | DAS is a University of Oxford service that ‘provides information and advice on disability issues and facilitates support’ for disabled students at Oxford. Students must register with DAS in order to receive a Student Support Plan (SSP), which then grants them accommodations such as extensions, extra time during exams, and other accessibility resources such as equipment or software. DAS has a staff of </w:t>
      </w:r>
      <w:r w:rsidRPr="005420F9">
        <w:rPr>
          <w:rStyle w:val="normaltextrun"/>
          <w:rFonts w:ascii="Arial" w:hAnsi="Arial" w:cs="Arial"/>
          <w:lang w:val="en-GB"/>
        </w:rPr>
        <w:lastRenderedPageBreak/>
        <w:t xml:space="preserve">advisors who are assigned to each college. </w:t>
      </w:r>
      <w:r w:rsidR="00CE50DE" w:rsidRPr="00CE50DE">
        <w:rPr>
          <w:rFonts w:ascii="Arial" w:hAnsi="Arial" w:cs="Arial" w:hint="eastAsia"/>
          <w:lang w:val="en-GB"/>
        </w:rPr>
        <w:t xml:space="preserve">You can refer to </w:t>
      </w:r>
      <w:hyperlink r:id="rId9" w:history="1">
        <w:r w:rsidR="00CE50DE" w:rsidRPr="00CE50DE">
          <w:rPr>
            <w:rStyle w:val="Hyperlink"/>
            <w:rFonts w:ascii="Arial" w:hAnsi="Arial" w:cs="Arial" w:hint="eastAsia"/>
            <w:lang w:val="en-GB"/>
          </w:rPr>
          <w:t>this page</w:t>
        </w:r>
      </w:hyperlink>
      <w:r w:rsidR="00CE50DE" w:rsidRPr="00CE50DE">
        <w:rPr>
          <w:rFonts w:ascii="Arial" w:hAnsi="Arial" w:cs="Arial" w:hint="eastAsia"/>
          <w:lang w:val="en-GB"/>
        </w:rPr>
        <w:t xml:space="preserve"> about the evidence needed to register with DAS</w:t>
      </w:r>
      <w:r w:rsidR="00CE50DE" w:rsidRPr="00CE50DE">
        <w:rPr>
          <w:rFonts w:ascii="Arial" w:hAnsi="Arial" w:cs="Arial"/>
          <w:lang w:val="en-GB"/>
        </w:rPr>
        <w:t>.</w:t>
      </w:r>
    </w:p>
    <w:p w14:paraId="5B1251C6" w14:textId="77777777" w:rsidR="005420F9" w:rsidRPr="005420F9" w:rsidRDefault="005420F9" w:rsidP="005420F9">
      <w:pPr>
        <w:pStyle w:val="paragraph"/>
        <w:spacing w:before="0" w:beforeAutospacing="0" w:after="0" w:afterAutospacing="0" w:line="360" w:lineRule="auto"/>
        <w:ind w:left="360"/>
        <w:textAlignment w:val="baseline"/>
        <w:rPr>
          <w:rFonts w:ascii="Segoe UI" w:hAnsi="Segoe UI" w:cs="Segoe UI"/>
        </w:rPr>
      </w:pPr>
      <w:r w:rsidRPr="005420F9">
        <w:rPr>
          <w:rStyle w:val="eop"/>
          <w:rFonts w:ascii="Arial" w:hAnsi="Arial" w:cs="Arial"/>
        </w:rPr>
        <w:t> </w:t>
      </w:r>
    </w:p>
    <w:p w14:paraId="68D7FF48"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normaltextrun"/>
          <w:rFonts w:ascii="Arial" w:hAnsi="Arial" w:cs="Arial"/>
          <w:b/>
          <w:bCs/>
          <w:lang w:val="en-GB"/>
        </w:rPr>
        <w:t>Disability drift</w:t>
      </w:r>
      <w:r w:rsidRPr="005420F9">
        <w:rPr>
          <w:rStyle w:val="normaltextrun"/>
          <w:rFonts w:ascii="Arial" w:hAnsi="Arial" w:cs="Arial"/>
          <w:b/>
          <w:bCs/>
        </w:rPr>
        <w:t xml:space="preserve"> </w:t>
      </w:r>
      <w:r w:rsidRPr="005420F9">
        <w:rPr>
          <w:rStyle w:val="normaltextrun"/>
          <w:rFonts w:ascii="Arial" w:hAnsi="Arial" w:cs="Arial"/>
          <w:lang w:val="en-GB"/>
        </w:rPr>
        <w:t>| Treating a disabled person as if they have another disability which they do not in fact have. For example, talking slowly and loudly to a person in a wheelchair as if that person is d/Deaf when in fact they are hearing, or treating a person who stammers as if they also have an intellectual disability when in fact they don’t</w:t>
      </w:r>
      <w:r w:rsidRPr="005420F9">
        <w:rPr>
          <w:rStyle w:val="normaltextrun"/>
          <w:rFonts w:ascii="Arial" w:hAnsi="Arial" w:cs="Arial"/>
        </w:rPr>
        <w:t>.</w:t>
      </w:r>
      <w:r w:rsidRPr="005420F9">
        <w:rPr>
          <w:rStyle w:val="normaltextrun"/>
          <w:rFonts w:ascii="Arial" w:hAnsi="Arial" w:cs="Arial"/>
          <w:lang w:val="en-GB"/>
        </w:rPr>
        <w:t xml:space="preserve"> In situations where ‘disability drift’ occurs, one type of disability drifts and blurs into another.</w:t>
      </w:r>
      <w:r w:rsidRPr="005420F9">
        <w:rPr>
          <w:rStyle w:val="normaltextrun"/>
          <w:rFonts w:ascii="Arial" w:hAnsi="Arial" w:cs="Arial"/>
        </w:rPr>
        <w:t xml:space="preserve"> </w:t>
      </w:r>
      <w:r w:rsidRPr="005420F9">
        <w:rPr>
          <w:rStyle w:val="normaltextrun"/>
          <w:rFonts w:ascii="Arial" w:hAnsi="Arial" w:cs="Arial"/>
          <w:lang w:val="en-GB"/>
        </w:rPr>
        <w:t>This concept was articulated by Jay Dolmage</w:t>
      </w:r>
      <w:r w:rsidRPr="005420F9">
        <w:rPr>
          <w:rStyle w:val="normaltextrun"/>
          <w:rFonts w:ascii="Arial" w:hAnsi="Arial" w:cs="Arial"/>
        </w:rPr>
        <w:t>.</w:t>
      </w:r>
      <w:r w:rsidRPr="005420F9">
        <w:rPr>
          <w:rStyle w:val="eop"/>
          <w:rFonts w:ascii="Arial" w:hAnsi="Arial" w:cs="Arial"/>
        </w:rPr>
        <w:t> </w:t>
      </w:r>
    </w:p>
    <w:p w14:paraId="41694BA4" w14:textId="77777777" w:rsidR="005420F9" w:rsidRPr="005420F9" w:rsidRDefault="005420F9" w:rsidP="005420F9">
      <w:pPr>
        <w:pStyle w:val="paragraph"/>
        <w:spacing w:before="0" w:beforeAutospacing="0" w:after="0" w:afterAutospacing="0" w:line="360" w:lineRule="auto"/>
        <w:ind w:left="360"/>
        <w:textAlignment w:val="baseline"/>
        <w:rPr>
          <w:rFonts w:ascii="Segoe UI" w:hAnsi="Segoe UI" w:cs="Segoe UI"/>
        </w:rPr>
      </w:pPr>
      <w:r w:rsidRPr="005420F9">
        <w:rPr>
          <w:rStyle w:val="eop"/>
          <w:rFonts w:ascii="Arial" w:hAnsi="Arial" w:cs="Arial"/>
        </w:rPr>
        <w:t> </w:t>
      </w:r>
    </w:p>
    <w:p w14:paraId="7F87AE49"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normaltextrun"/>
          <w:rFonts w:ascii="Arial" w:hAnsi="Arial" w:cs="Arial"/>
          <w:b/>
          <w:bCs/>
          <w:lang w:val="en-GB"/>
        </w:rPr>
        <w:t>Fidget toys</w:t>
      </w:r>
      <w:r w:rsidRPr="005420F9">
        <w:rPr>
          <w:rStyle w:val="normaltextrun"/>
          <w:rFonts w:ascii="Arial" w:hAnsi="Arial" w:cs="Arial"/>
          <w:b/>
          <w:bCs/>
        </w:rPr>
        <w:t xml:space="preserve"> </w:t>
      </w:r>
      <w:r w:rsidRPr="005420F9">
        <w:rPr>
          <w:rStyle w:val="normaltextrun"/>
          <w:rFonts w:ascii="Arial" w:hAnsi="Arial" w:cs="Arial"/>
          <w:lang w:val="en-GB"/>
        </w:rPr>
        <w:t>| Items that people use to fidget: to help focus, regulate emotions, and to play</w:t>
      </w:r>
      <w:r w:rsidRPr="005420F9">
        <w:rPr>
          <w:rStyle w:val="normaltextrun"/>
          <w:rFonts w:ascii="Arial" w:hAnsi="Arial" w:cs="Arial"/>
        </w:rPr>
        <w:t xml:space="preserve">. </w:t>
      </w:r>
      <w:r w:rsidRPr="005420F9">
        <w:rPr>
          <w:rStyle w:val="normaltextrun"/>
          <w:rFonts w:ascii="Arial" w:hAnsi="Arial" w:cs="Arial"/>
          <w:lang w:val="en-GB"/>
        </w:rPr>
        <w:t>They may be manufactured for this purpose (e.g. fidget spinners) or ad-hoc</w:t>
      </w:r>
      <w:r w:rsidRPr="005420F9">
        <w:rPr>
          <w:rStyle w:val="normaltextrun"/>
          <w:rFonts w:ascii="Arial" w:hAnsi="Arial" w:cs="Arial"/>
        </w:rPr>
        <w:t xml:space="preserve"> </w:t>
      </w:r>
      <w:r w:rsidRPr="005420F9">
        <w:rPr>
          <w:rStyle w:val="normaltextrun"/>
          <w:rFonts w:ascii="Arial" w:hAnsi="Arial" w:cs="Arial"/>
          <w:lang w:val="en-GB"/>
        </w:rPr>
        <w:t>(e.g. a pebble someone keeps in their pocket to fiddle with).</w:t>
      </w:r>
      <w:r w:rsidRPr="005420F9">
        <w:rPr>
          <w:rStyle w:val="eop"/>
          <w:rFonts w:ascii="Arial" w:hAnsi="Arial" w:cs="Arial"/>
        </w:rPr>
        <w:t> </w:t>
      </w:r>
    </w:p>
    <w:p w14:paraId="13363350"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eop"/>
          <w:rFonts w:ascii="Arial" w:hAnsi="Arial" w:cs="Arial"/>
        </w:rPr>
        <w:t> </w:t>
      </w:r>
    </w:p>
    <w:p w14:paraId="215B433B" w14:textId="77777777" w:rsidR="005420F9" w:rsidRPr="005420F9" w:rsidRDefault="005420F9" w:rsidP="005420F9">
      <w:pPr>
        <w:pStyle w:val="paragraph"/>
        <w:spacing w:before="0" w:beforeAutospacing="0" w:after="0" w:afterAutospacing="0" w:line="360" w:lineRule="auto"/>
        <w:textAlignment w:val="baseline"/>
        <w:rPr>
          <w:rFonts w:ascii="Segoe UI" w:hAnsi="Segoe UI" w:cs="Segoe UI"/>
        </w:rPr>
      </w:pPr>
      <w:r w:rsidRPr="005420F9">
        <w:rPr>
          <w:rStyle w:val="normaltextrun"/>
          <w:rFonts w:ascii="Arial" w:hAnsi="Arial" w:cs="Arial"/>
          <w:b/>
          <w:bCs/>
          <w:lang w:val="en-GB"/>
        </w:rPr>
        <w:t>Stimming/Tics</w:t>
      </w:r>
      <w:r w:rsidRPr="005420F9">
        <w:rPr>
          <w:rStyle w:val="normaltextrun"/>
          <w:rFonts w:ascii="Arial" w:hAnsi="Arial" w:cs="Arial"/>
          <w:b/>
          <w:bCs/>
        </w:rPr>
        <w:t xml:space="preserve"> </w:t>
      </w:r>
      <w:r w:rsidRPr="005420F9">
        <w:rPr>
          <w:rStyle w:val="normaltextrun"/>
          <w:rFonts w:ascii="Arial" w:hAnsi="Arial" w:cs="Arial"/>
          <w:lang w:val="en-GB"/>
        </w:rPr>
        <w:t>| Words and movements that punctuate a person’s speech and behaviour. Often repeated or repetitive. Stims and tics are often described as ‘involuntary’, but as Remi Yergeau has shown we should be wary of neatly mapping the voluntary/involuntary dichotomy onto the neurotypical/neurodivergent binary</w:t>
      </w:r>
      <w:r w:rsidRPr="005420F9">
        <w:rPr>
          <w:rStyle w:val="normaltextrun"/>
          <w:rFonts w:ascii="Arial" w:hAnsi="Arial" w:cs="Arial"/>
        </w:rPr>
        <w:t xml:space="preserve">. </w:t>
      </w:r>
      <w:r w:rsidRPr="005420F9">
        <w:rPr>
          <w:rStyle w:val="normaltextrun"/>
          <w:rFonts w:ascii="Arial" w:hAnsi="Arial" w:cs="Arial"/>
          <w:lang w:val="en-GB"/>
        </w:rPr>
        <w:t>Neurotypical people make all kinds of involuntary movements and utterances every day, and many neurodivergent people can play around with, decide to unleash, and (albeit often with pain and suffering) deliberately repress their stims and tics.</w:t>
      </w:r>
      <w:r w:rsidRPr="005420F9">
        <w:rPr>
          <w:rStyle w:val="eop"/>
          <w:rFonts w:ascii="Arial" w:hAnsi="Arial" w:cs="Arial"/>
        </w:rPr>
        <w:t> </w:t>
      </w:r>
    </w:p>
    <w:p w14:paraId="452EE6A1" w14:textId="77777777" w:rsidR="005420F9" w:rsidRPr="005420F9" w:rsidRDefault="005420F9" w:rsidP="005420F9">
      <w:pPr>
        <w:pStyle w:val="paragraph"/>
        <w:spacing w:before="0" w:beforeAutospacing="0" w:after="0" w:afterAutospacing="0" w:line="360" w:lineRule="auto"/>
        <w:ind w:left="360"/>
        <w:textAlignment w:val="baseline"/>
        <w:rPr>
          <w:rFonts w:ascii="Segoe UI" w:hAnsi="Segoe UI" w:cs="Segoe UI"/>
        </w:rPr>
      </w:pPr>
      <w:r w:rsidRPr="005420F9">
        <w:rPr>
          <w:rStyle w:val="eop"/>
          <w:rFonts w:ascii="Arial" w:hAnsi="Arial" w:cs="Arial"/>
        </w:rPr>
        <w:t> </w:t>
      </w:r>
    </w:p>
    <w:p w14:paraId="3352912C" w14:textId="77777777" w:rsidR="005420F9" w:rsidRPr="005420F9" w:rsidRDefault="005420F9" w:rsidP="743D5B5F">
      <w:pPr>
        <w:pStyle w:val="paragraph"/>
        <w:spacing w:before="0" w:beforeAutospacing="0" w:after="0" w:afterAutospacing="0" w:line="360" w:lineRule="auto"/>
        <w:textAlignment w:val="baseline"/>
        <w:rPr>
          <w:rFonts w:ascii="Segoe UI" w:hAnsi="Segoe UI" w:cs="Segoe UI"/>
        </w:rPr>
      </w:pPr>
      <w:hyperlink r:id="rId10" w:anchor="collapse1661101">
        <w:r w:rsidRPr="743D5B5F">
          <w:rPr>
            <w:rStyle w:val="normaltextrun"/>
            <w:rFonts w:ascii="Arial" w:hAnsi="Arial" w:cs="Arial"/>
            <w:b/>
            <w:bCs/>
            <w:color w:val="0E2345"/>
            <w:u w:val="single"/>
            <w:lang w:val="en-GB"/>
          </w:rPr>
          <w:t>Student Support Plan</w:t>
        </w:r>
      </w:hyperlink>
      <w:r w:rsidRPr="743D5B5F">
        <w:rPr>
          <w:rStyle w:val="normaltextrun"/>
          <w:rFonts w:ascii="Arial" w:hAnsi="Arial" w:cs="Arial"/>
          <w:b/>
          <w:bCs/>
          <w:lang w:val="en-GB"/>
        </w:rPr>
        <w:t xml:space="preserve"> (SSP)</w:t>
      </w:r>
      <w:r w:rsidRPr="743D5B5F">
        <w:rPr>
          <w:rStyle w:val="normaltextrun"/>
          <w:rFonts w:ascii="Arial" w:hAnsi="Arial" w:cs="Arial"/>
          <w:lang w:val="en-GB"/>
        </w:rPr>
        <w:t xml:space="preserve"> | The SSP sets out the ‘reasonable adjustments recommended for a student’ in order to ensure their learning is accessible and is shared with relevant staff members (i.e. librarians, course conveners, educators). A student may also share their SSP with you directly. Regardless </w:t>
      </w:r>
      <w:r w:rsidRPr="743D5B5F">
        <w:rPr>
          <w:rStyle w:val="normaltextrun"/>
          <w:rFonts w:ascii="Arial" w:hAnsi="Arial" w:cs="Arial"/>
          <w:lang w:val="en-GB"/>
        </w:rPr>
        <w:lastRenderedPageBreak/>
        <w:t>of whether a student has an SSP, they may have access needs and require accommodations that are not formally recorded, but are equally as valid.</w:t>
      </w:r>
      <w:r w:rsidRPr="743D5B5F">
        <w:rPr>
          <w:rStyle w:val="eop"/>
          <w:rFonts w:ascii="Arial" w:hAnsi="Arial" w:cs="Arial"/>
        </w:rPr>
        <w:t> </w:t>
      </w:r>
    </w:p>
    <w:p w14:paraId="6DFA1194" w14:textId="0B1C7BD6" w:rsidR="00552821" w:rsidRPr="005420F9" w:rsidRDefault="00552821" w:rsidP="743D5B5F">
      <w:pPr>
        <w:pStyle w:val="paragraph"/>
        <w:spacing w:before="0" w:beforeAutospacing="0" w:after="0" w:afterAutospacing="0" w:line="360" w:lineRule="auto"/>
        <w:rPr>
          <w:rStyle w:val="eop"/>
          <w:rFonts w:ascii="Arial" w:hAnsi="Arial" w:cs="Arial"/>
        </w:rPr>
      </w:pPr>
    </w:p>
    <w:p w14:paraId="4907288A" w14:textId="15F094FB" w:rsidR="00552821" w:rsidRPr="005420F9" w:rsidRDefault="00552821" w:rsidP="743D5B5F">
      <w:pPr>
        <w:widowControl/>
        <w:spacing w:line="360" w:lineRule="auto"/>
        <w:jc w:val="left"/>
        <w:rPr>
          <w:rStyle w:val="normaltextrun"/>
          <w:rFonts w:ascii="Arial" w:eastAsia="Arial" w:hAnsi="Arial" w:cs="Arial"/>
          <w:b/>
          <w:bCs/>
          <w:color w:val="000000" w:themeColor="text1"/>
          <w:sz w:val="24"/>
          <w:lang w:val="en-GB"/>
        </w:rPr>
      </w:pPr>
    </w:p>
    <w:p w14:paraId="319185C1" w14:textId="12DA4CF2" w:rsidR="00552821" w:rsidRPr="005420F9" w:rsidRDefault="00552821" w:rsidP="743D5B5F">
      <w:pPr>
        <w:widowControl/>
        <w:spacing w:line="360" w:lineRule="auto"/>
        <w:jc w:val="left"/>
        <w:rPr>
          <w:rStyle w:val="normaltextrun"/>
          <w:rFonts w:ascii="Arial" w:eastAsia="Arial" w:hAnsi="Arial" w:cs="Arial"/>
          <w:b/>
          <w:bCs/>
          <w:color w:val="000000" w:themeColor="text1"/>
          <w:sz w:val="24"/>
          <w:lang w:val="en-GB"/>
        </w:rPr>
      </w:pPr>
    </w:p>
    <w:p w14:paraId="1C62785D" w14:textId="13F614E2" w:rsidR="00552821" w:rsidRPr="005420F9" w:rsidRDefault="00552821" w:rsidP="743D5B5F">
      <w:pPr>
        <w:widowControl/>
        <w:spacing w:line="360" w:lineRule="auto"/>
        <w:jc w:val="left"/>
        <w:rPr>
          <w:rStyle w:val="normaltextrun"/>
          <w:rFonts w:ascii="Arial" w:eastAsia="Arial" w:hAnsi="Arial" w:cs="Arial"/>
          <w:b/>
          <w:bCs/>
          <w:color w:val="000000" w:themeColor="text1"/>
          <w:sz w:val="24"/>
          <w:lang w:val="en-GB"/>
        </w:rPr>
      </w:pPr>
    </w:p>
    <w:p w14:paraId="0F7300F1" w14:textId="0D51EA1F" w:rsidR="00552821" w:rsidRPr="005420F9" w:rsidRDefault="00552821" w:rsidP="743D5B5F">
      <w:pPr>
        <w:widowControl/>
        <w:spacing w:line="360" w:lineRule="auto"/>
        <w:jc w:val="left"/>
        <w:rPr>
          <w:rStyle w:val="normaltextrun"/>
          <w:rFonts w:ascii="Arial" w:eastAsia="Arial" w:hAnsi="Arial" w:cs="Arial"/>
          <w:b/>
          <w:bCs/>
          <w:color w:val="000000" w:themeColor="text1"/>
          <w:sz w:val="24"/>
          <w:lang w:val="en-GB"/>
        </w:rPr>
      </w:pPr>
    </w:p>
    <w:p w14:paraId="3B4266E6" w14:textId="254BE7A0" w:rsidR="00552821" w:rsidRPr="005420F9" w:rsidRDefault="3088D1F4" w:rsidP="743D5B5F">
      <w:pPr>
        <w:widowControl/>
        <w:spacing w:line="360" w:lineRule="auto"/>
        <w:jc w:val="left"/>
        <w:rPr>
          <w:rFonts w:ascii="Arial" w:eastAsia="Arial" w:hAnsi="Arial" w:cs="Arial"/>
          <w:color w:val="000000" w:themeColor="text1"/>
          <w:sz w:val="24"/>
        </w:rPr>
      </w:pPr>
      <w:r w:rsidRPr="743D5B5F">
        <w:rPr>
          <w:rStyle w:val="normaltextrun"/>
          <w:rFonts w:ascii="Arial" w:eastAsia="Arial" w:hAnsi="Arial" w:cs="Arial"/>
          <w:b/>
          <w:bCs/>
          <w:color w:val="000000" w:themeColor="text1"/>
          <w:sz w:val="24"/>
          <w:lang w:val="en-GB"/>
        </w:rPr>
        <w:t xml:space="preserve">For more detailed guidance, examples, activities, and case studies, see the full </w:t>
      </w:r>
      <w:hyperlink r:id="rId11">
        <w:r w:rsidRPr="743D5B5F">
          <w:rPr>
            <w:rStyle w:val="Hyperlink"/>
            <w:rFonts w:ascii="Arial" w:eastAsia="Arial" w:hAnsi="Arial" w:cs="Arial"/>
            <w:b/>
            <w:bCs/>
            <w:sz w:val="24"/>
            <w:lang w:val="en-GB"/>
          </w:rPr>
          <w:t>NESTL toolkit</w:t>
        </w:r>
      </w:hyperlink>
      <w:r w:rsidRPr="743D5B5F">
        <w:rPr>
          <w:rStyle w:val="normaltextrun"/>
          <w:rFonts w:ascii="Arial" w:eastAsia="Arial" w:hAnsi="Arial" w:cs="Arial"/>
          <w:b/>
          <w:bCs/>
          <w:color w:val="000000" w:themeColor="text1"/>
          <w:sz w:val="24"/>
        </w:rPr>
        <w:t>.</w:t>
      </w:r>
      <w:r w:rsidRPr="743D5B5F">
        <w:rPr>
          <w:rStyle w:val="eop"/>
          <w:rFonts w:ascii="Arial" w:eastAsia="Arial" w:hAnsi="Arial" w:cs="Arial"/>
          <w:color w:val="000000" w:themeColor="text1"/>
          <w:sz w:val="24"/>
        </w:rPr>
        <w:t> </w:t>
      </w:r>
    </w:p>
    <w:p w14:paraId="31883420" w14:textId="6071F6FE" w:rsidR="00552821" w:rsidRPr="005420F9" w:rsidRDefault="3088D1F4" w:rsidP="743D5B5F">
      <w:pPr>
        <w:widowControl/>
        <w:spacing w:line="360" w:lineRule="auto"/>
        <w:jc w:val="left"/>
        <w:rPr>
          <w:rFonts w:ascii="Arial" w:eastAsia="Arial" w:hAnsi="Arial" w:cs="Arial"/>
          <w:color w:val="000000" w:themeColor="text1"/>
          <w:sz w:val="24"/>
        </w:rPr>
      </w:pPr>
      <w:r>
        <w:rPr>
          <w:noProof/>
        </w:rPr>
        <w:drawing>
          <wp:inline distT="0" distB="0" distL="0" distR="0" wp14:anchorId="2793BEA2" wp14:editId="3F9A6167">
            <wp:extent cx="1038225" cy="1038225"/>
            <wp:effectExtent l="0" t="0" r="0" b="0"/>
            <wp:docPr id="557308127" name="Picture 557308127" descr="图片, 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r w:rsidRPr="743D5B5F">
        <w:rPr>
          <w:rStyle w:val="normaltextrun"/>
          <w:rFonts w:ascii="Arial" w:eastAsia="Arial" w:hAnsi="Arial" w:cs="Arial"/>
          <w:color w:val="000000" w:themeColor="text1"/>
          <w:sz w:val="24"/>
        </w:rPr>
        <w:t>                       </w:t>
      </w:r>
      <w:r w:rsidRPr="743D5B5F">
        <w:rPr>
          <w:rStyle w:val="normaltextrun"/>
          <w:rFonts w:ascii="Arial" w:eastAsia="Arial" w:hAnsi="Arial" w:cs="Arial"/>
          <w:i/>
          <w:iCs/>
          <w:color w:val="000000" w:themeColor="text1"/>
          <w:sz w:val="24"/>
        </w:rPr>
        <w:t>           </w:t>
      </w:r>
      <w:r w:rsidRPr="743D5B5F">
        <w:rPr>
          <w:rStyle w:val="eop"/>
          <w:rFonts w:ascii="Arial" w:eastAsia="Arial" w:hAnsi="Arial" w:cs="Arial"/>
          <w:color w:val="000000" w:themeColor="text1"/>
          <w:sz w:val="24"/>
        </w:rPr>
        <w:t> </w:t>
      </w:r>
    </w:p>
    <w:p w14:paraId="520790DF" w14:textId="0627FBC2" w:rsidR="00552821" w:rsidRPr="005420F9" w:rsidRDefault="3088D1F4" w:rsidP="743D5B5F">
      <w:pPr>
        <w:spacing w:line="360" w:lineRule="auto"/>
        <w:rPr>
          <w:rFonts w:ascii="Arial" w:eastAsia="Arial" w:hAnsi="Arial" w:cs="Arial"/>
          <w:color w:val="000000" w:themeColor="text1"/>
          <w:sz w:val="24"/>
        </w:rPr>
      </w:pPr>
      <w:r w:rsidRPr="743D5B5F">
        <w:rPr>
          <w:rStyle w:val="normaltextrun"/>
          <w:rFonts w:ascii="Arial" w:eastAsia="Arial" w:hAnsi="Arial" w:cs="Arial"/>
          <w:b/>
          <w:bCs/>
          <w:color w:val="000000" w:themeColor="text1"/>
          <w:sz w:val="24"/>
          <w:lang w:val="en-GB"/>
        </w:rPr>
        <w:t>NESTL Toolkit     </w:t>
      </w:r>
    </w:p>
    <w:sectPr w:rsidR="00552821" w:rsidRPr="005420F9">
      <w:headerReference w:type="default"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E820D" w14:textId="77777777" w:rsidR="0099636A" w:rsidRDefault="0099636A">
      <w:r>
        <w:separator/>
      </w:r>
    </w:p>
  </w:endnote>
  <w:endnote w:type="continuationSeparator" w:id="0">
    <w:p w14:paraId="27173B2E" w14:textId="77777777" w:rsidR="0099636A" w:rsidRDefault="0099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743D5B5F" w14:paraId="5615B876" w14:textId="77777777" w:rsidTr="743D5B5F">
      <w:trPr>
        <w:trHeight w:val="300"/>
      </w:trPr>
      <w:tc>
        <w:tcPr>
          <w:tcW w:w="2765" w:type="dxa"/>
        </w:tcPr>
        <w:p w14:paraId="77B983C2" w14:textId="33B0F867" w:rsidR="743D5B5F" w:rsidRDefault="743D5B5F" w:rsidP="743D5B5F">
          <w:pPr>
            <w:pStyle w:val="Header"/>
            <w:ind w:left="-115"/>
            <w:jc w:val="left"/>
          </w:pPr>
          <w:r>
            <w:fldChar w:fldCharType="begin"/>
          </w:r>
          <w:r>
            <w:instrText>PAGE</w:instrText>
          </w:r>
          <w:r>
            <w:fldChar w:fldCharType="separate"/>
          </w:r>
          <w:r w:rsidR="0099636A">
            <w:rPr>
              <w:noProof/>
            </w:rPr>
            <w:t>2</w:t>
          </w:r>
          <w:r>
            <w:fldChar w:fldCharType="end"/>
          </w:r>
        </w:p>
        <w:p w14:paraId="7A82F084" w14:textId="391177AC" w:rsidR="743D5B5F" w:rsidRDefault="743D5B5F" w:rsidP="743D5B5F">
          <w:pPr>
            <w:pStyle w:val="Header"/>
            <w:ind w:left="-115"/>
            <w:jc w:val="left"/>
          </w:pPr>
          <w:r>
            <w:t>NESTL Toolkit Key Resource</w:t>
          </w:r>
        </w:p>
      </w:tc>
      <w:tc>
        <w:tcPr>
          <w:tcW w:w="2765" w:type="dxa"/>
        </w:tcPr>
        <w:p w14:paraId="4A853D8D" w14:textId="365F1AC5" w:rsidR="743D5B5F" w:rsidRDefault="743D5B5F" w:rsidP="743D5B5F">
          <w:pPr>
            <w:pStyle w:val="Header"/>
          </w:pPr>
        </w:p>
      </w:tc>
      <w:tc>
        <w:tcPr>
          <w:tcW w:w="2765" w:type="dxa"/>
        </w:tcPr>
        <w:p w14:paraId="33256E65" w14:textId="7E9348F4" w:rsidR="743D5B5F" w:rsidRDefault="743D5B5F" w:rsidP="743D5B5F">
          <w:pPr>
            <w:pStyle w:val="Header"/>
            <w:ind w:right="-115"/>
            <w:jc w:val="right"/>
          </w:pPr>
        </w:p>
      </w:tc>
    </w:tr>
  </w:tbl>
  <w:p w14:paraId="2E4DB1B4" w14:textId="3FE53A31" w:rsidR="743D5B5F" w:rsidRDefault="743D5B5F" w:rsidP="743D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743D5B5F" w14:paraId="32D6AB8E" w14:textId="77777777" w:rsidTr="743D5B5F">
      <w:trPr>
        <w:trHeight w:val="300"/>
      </w:trPr>
      <w:tc>
        <w:tcPr>
          <w:tcW w:w="2765" w:type="dxa"/>
        </w:tcPr>
        <w:p w14:paraId="0E49AD64" w14:textId="1DCF6C90" w:rsidR="743D5B5F" w:rsidRDefault="743D5B5F" w:rsidP="743D5B5F">
          <w:pPr>
            <w:pStyle w:val="Header"/>
            <w:ind w:left="-115"/>
            <w:jc w:val="left"/>
          </w:pPr>
          <w:r>
            <w:t>1</w:t>
          </w:r>
        </w:p>
        <w:p w14:paraId="512848A0" w14:textId="0B4ACE94" w:rsidR="743D5B5F" w:rsidRDefault="743D5B5F" w:rsidP="743D5B5F">
          <w:pPr>
            <w:pStyle w:val="Header"/>
            <w:ind w:left="-115"/>
            <w:jc w:val="left"/>
          </w:pPr>
          <w:r>
            <w:t>NESTL Toolkit Key Resource</w:t>
          </w:r>
        </w:p>
      </w:tc>
      <w:tc>
        <w:tcPr>
          <w:tcW w:w="2765" w:type="dxa"/>
        </w:tcPr>
        <w:p w14:paraId="00239693" w14:textId="1A5CF691" w:rsidR="743D5B5F" w:rsidRDefault="743D5B5F" w:rsidP="743D5B5F">
          <w:pPr>
            <w:pStyle w:val="Header"/>
          </w:pPr>
        </w:p>
      </w:tc>
      <w:tc>
        <w:tcPr>
          <w:tcW w:w="2765" w:type="dxa"/>
        </w:tcPr>
        <w:p w14:paraId="5BA3DC5D" w14:textId="27702027" w:rsidR="743D5B5F" w:rsidRDefault="743D5B5F" w:rsidP="743D5B5F">
          <w:pPr>
            <w:pStyle w:val="Header"/>
            <w:ind w:right="-115"/>
            <w:jc w:val="right"/>
          </w:pPr>
        </w:p>
      </w:tc>
    </w:tr>
  </w:tbl>
  <w:p w14:paraId="4B4350E3" w14:textId="6B2D617A" w:rsidR="743D5B5F" w:rsidRDefault="743D5B5F" w:rsidP="743D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EB3B" w14:textId="77777777" w:rsidR="0099636A" w:rsidRDefault="0099636A">
      <w:r>
        <w:separator/>
      </w:r>
    </w:p>
  </w:footnote>
  <w:footnote w:type="continuationSeparator" w:id="0">
    <w:p w14:paraId="5673F415" w14:textId="77777777" w:rsidR="0099636A" w:rsidRDefault="0099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743D5B5F" w14:paraId="4BE244DD" w14:textId="77777777" w:rsidTr="743D5B5F">
      <w:trPr>
        <w:trHeight w:val="300"/>
      </w:trPr>
      <w:tc>
        <w:tcPr>
          <w:tcW w:w="2765" w:type="dxa"/>
        </w:tcPr>
        <w:p w14:paraId="67EBBDD4" w14:textId="294C0B0B" w:rsidR="743D5B5F" w:rsidRDefault="743D5B5F" w:rsidP="743D5B5F">
          <w:pPr>
            <w:pStyle w:val="Header"/>
            <w:ind w:left="-115"/>
            <w:jc w:val="left"/>
          </w:pPr>
        </w:p>
      </w:tc>
      <w:tc>
        <w:tcPr>
          <w:tcW w:w="2765" w:type="dxa"/>
        </w:tcPr>
        <w:p w14:paraId="44E80137" w14:textId="25E1D52F" w:rsidR="743D5B5F" w:rsidRDefault="743D5B5F" w:rsidP="743D5B5F">
          <w:pPr>
            <w:pStyle w:val="Header"/>
          </w:pPr>
        </w:p>
      </w:tc>
      <w:tc>
        <w:tcPr>
          <w:tcW w:w="2765" w:type="dxa"/>
        </w:tcPr>
        <w:p w14:paraId="01CC7776" w14:textId="0F84B722" w:rsidR="743D5B5F" w:rsidRDefault="743D5B5F" w:rsidP="743D5B5F">
          <w:pPr>
            <w:pStyle w:val="Header"/>
            <w:ind w:right="-115"/>
            <w:jc w:val="right"/>
          </w:pPr>
        </w:p>
      </w:tc>
    </w:tr>
  </w:tbl>
  <w:p w14:paraId="047B0651" w14:textId="03D9F649" w:rsidR="743D5B5F" w:rsidRDefault="743D5B5F" w:rsidP="743D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743D5B5F" w14:paraId="45A6DF8F" w14:textId="77777777" w:rsidTr="743D5B5F">
      <w:trPr>
        <w:trHeight w:val="300"/>
      </w:trPr>
      <w:tc>
        <w:tcPr>
          <w:tcW w:w="5175" w:type="dxa"/>
        </w:tcPr>
        <w:p w14:paraId="5FD4256E" w14:textId="0E4A23A7" w:rsidR="743D5B5F" w:rsidRDefault="743D5B5F" w:rsidP="743D5B5F">
          <w:pPr>
            <w:ind w:left="-115"/>
            <w:jc w:val="left"/>
          </w:pPr>
          <w:r>
            <w:rPr>
              <w:noProof/>
            </w:rPr>
            <w:drawing>
              <wp:inline distT="0" distB="0" distL="0" distR="0" wp14:anchorId="4DF28827" wp14:editId="326F0C44">
                <wp:extent cx="1619250" cy="742950"/>
                <wp:effectExtent l="0" t="0" r="0" b="0"/>
                <wp:docPr id="678418255" name="Picture 678418255" descr="A close-up of a logo&#10;&#10;AI-generated content may be incorrect., 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742950"/>
                        </a:xfrm>
                        <a:prstGeom prst="rect">
                          <a:avLst/>
                        </a:prstGeom>
                      </pic:spPr>
                    </pic:pic>
                  </a:graphicData>
                </a:graphic>
              </wp:inline>
            </w:drawing>
          </w:r>
          <w:r>
            <w:t xml:space="preserve"> </w:t>
          </w:r>
          <w:r>
            <w:rPr>
              <w:noProof/>
            </w:rPr>
            <w:drawing>
              <wp:inline distT="0" distB="0" distL="0" distR="0" wp14:anchorId="5C285319" wp14:editId="494DF3C2">
                <wp:extent cx="733425" cy="733425"/>
                <wp:effectExtent l="0" t="0" r="0" b="0"/>
                <wp:docPr id="1923965255" name="Picture 1923965255" descr="A logo for a school&#10;&#10;AI-generated content may be incorrect.,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r>
            <w:t xml:space="preserve"> </w:t>
          </w:r>
        </w:p>
      </w:tc>
      <w:tc>
        <w:tcPr>
          <w:tcW w:w="355" w:type="dxa"/>
        </w:tcPr>
        <w:p w14:paraId="29CFACE8" w14:textId="7D79F812" w:rsidR="743D5B5F" w:rsidRDefault="743D5B5F" w:rsidP="743D5B5F">
          <w:pPr>
            <w:pStyle w:val="Header"/>
          </w:pPr>
        </w:p>
      </w:tc>
      <w:tc>
        <w:tcPr>
          <w:tcW w:w="2765" w:type="dxa"/>
        </w:tcPr>
        <w:p w14:paraId="5431B23F" w14:textId="726ACA21" w:rsidR="743D5B5F" w:rsidRDefault="743D5B5F" w:rsidP="743D5B5F">
          <w:pPr>
            <w:pStyle w:val="Header"/>
            <w:ind w:right="-115"/>
            <w:jc w:val="right"/>
          </w:pPr>
        </w:p>
      </w:tc>
    </w:tr>
  </w:tbl>
  <w:p w14:paraId="5CEA63C1" w14:textId="4633D2B7" w:rsidR="743D5B5F" w:rsidRDefault="743D5B5F" w:rsidP="743D5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40313"/>
    <w:multiLevelType w:val="hybridMultilevel"/>
    <w:tmpl w:val="60ECD9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692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6DqPT0LYOq2Ye2D8gm4mCEZ5s3oP68Rd6/V0KjGOeEn1QfOg9UHqyW4C8apAdb4aRqMfav4F54Rc7/UaLD2IuA==" w:salt="EYWA/pg4SegP8Unx+K7oIQ=="/>
  <w:zoom w:percent="83"/>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3Dw+0CS+DDJB9qsYcro/MaMdSOWQRJkuzJbFDxfrZHCZOM/7wxcCcPnTMszNfq4BJjiLGEDV1fD1pWfJQBZreQ==" w:salt="4BJP6oU0CdBNxEWGh1Lpmw=="/>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21"/>
    <w:rsid w:val="000A4799"/>
    <w:rsid w:val="002F01EF"/>
    <w:rsid w:val="00317DB5"/>
    <w:rsid w:val="004000B3"/>
    <w:rsid w:val="005420F9"/>
    <w:rsid w:val="00552821"/>
    <w:rsid w:val="00721BE5"/>
    <w:rsid w:val="0099636A"/>
    <w:rsid w:val="009C74B4"/>
    <w:rsid w:val="00CE50DE"/>
    <w:rsid w:val="1042A14A"/>
    <w:rsid w:val="2F908F77"/>
    <w:rsid w:val="3088D1F4"/>
    <w:rsid w:val="68E295DA"/>
    <w:rsid w:val="743D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EBD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52821"/>
  </w:style>
  <w:style w:type="character" w:customStyle="1" w:styleId="eop">
    <w:name w:val="eop"/>
    <w:basedOn w:val="DefaultParagraphFont"/>
    <w:rsid w:val="00552821"/>
  </w:style>
  <w:style w:type="paragraph" w:customStyle="1" w:styleId="paragraph">
    <w:name w:val="paragraph"/>
    <w:basedOn w:val="Normal"/>
    <w:rsid w:val="00552821"/>
    <w:pPr>
      <w:widowControl/>
      <w:spacing w:before="100" w:beforeAutospacing="1" w:after="100" w:afterAutospacing="1"/>
      <w:jc w:val="left"/>
    </w:pPr>
    <w:rPr>
      <w:rFonts w:ascii="SimSun" w:eastAsia="SimSun" w:hAnsi="SimSun" w:cs="SimSun"/>
      <w:kern w:val="0"/>
      <w:sz w:val="24"/>
    </w:rPr>
  </w:style>
  <w:style w:type="character" w:customStyle="1" w:styleId="scxw23781959">
    <w:name w:val="scxw23781959"/>
    <w:basedOn w:val="DefaultParagraphFont"/>
    <w:rsid w:val="00552821"/>
  </w:style>
  <w:style w:type="paragraph" w:styleId="ListParagraph">
    <w:name w:val="List Paragraph"/>
    <w:basedOn w:val="Normal"/>
    <w:uiPriority w:val="34"/>
    <w:qFormat/>
    <w:rsid w:val="004000B3"/>
    <w:pPr>
      <w:ind w:firstLineChars="200" w:firstLine="420"/>
    </w:pPr>
  </w:style>
  <w:style w:type="paragraph" w:styleId="Header">
    <w:name w:val="header"/>
    <w:basedOn w:val="Normal"/>
    <w:uiPriority w:val="99"/>
    <w:unhideWhenUsed/>
    <w:rsid w:val="743D5B5F"/>
    <w:pPr>
      <w:tabs>
        <w:tab w:val="center" w:pos="4513"/>
        <w:tab w:val="right" w:pos="9026"/>
      </w:tabs>
      <w:jc w:val="center"/>
    </w:pPr>
    <w:rPr>
      <w:sz w:val="18"/>
      <w:szCs w:val="18"/>
    </w:rPr>
  </w:style>
  <w:style w:type="paragraph" w:styleId="Footer">
    <w:name w:val="footer"/>
    <w:basedOn w:val="Normal"/>
    <w:uiPriority w:val="99"/>
    <w:unhideWhenUsed/>
    <w:rsid w:val="743D5B5F"/>
    <w:pPr>
      <w:tabs>
        <w:tab w:val="center" w:pos="4513"/>
        <w:tab w:val="right" w:pos="9026"/>
      </w:tabs>
      <w:jc w:val="left"/>
    </w:pPr>
    <w:rPr>
      <w:sz w:val="18"/>
      <w:szCs w:val="18"/>
    </w:rPr>
  </w:style>
  <w:style w:type="character" w:styleId="Hyperlink">
    <w:name w:val="Hyperlink"/>
    <w:basedOn w:val="DefaultParagraphFont"/>
    <w:uiPriority w:val="99"/>
    <w:unhideWhenUsed/>
    <w:rsid w:val="743D5B5F"/>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E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8307">
      <w:bodyDiv w:val="1"/>
      <w:marLeft w:val="0"/>
      <w:marRight w:val="0"/>
      <w:marTop w:val="0"/>
      <w:marBottom w:val="0"/>
      <w:divBdr>
        <w:top w:val="none" w:sz="0" w:space="0" w:color="auto"/>
        <w:left w:val="none" w:sz="0" w:space="0" w:color="auto"/>
        <w:bottom w:val="none" w:sz="0" w:space="0" w:color="auto"/>
        <w:right w:val="none" w:sz="0" w:space="0" w:color="auto"/>
      </w:divBdr>
      <w:divsChild>
        <w:div w:id="466944836">
          <w:marLeft w:val="0"/>
          <w:marRight w:val="0"/>
          <w:marTop w:val="0"/>
          <w:marBottom w:val="0"/>
          <w:divBdr>
            <w:top w:val="none" w:sz="0" w:space="0" w:color="auto"/>
            <w:left w:val="none" w:sz="0" w:space="0" w:color="auto"/>
            <w:bottom w:val="none" w:sz="0" w:space="0" w:color="auto"/>
            <w:right w:val="none" w:sz="0" w:space="0" w:color="auto"/>
          </w:divBdr>
        </w:div>
        <w:div w:id="1275868540">
          <w:marLeft w:val="0"/>
          <w:marRight w:val="0"/>
          <w:marTop w:val="0"/>
          <w:marBottom w:val="0"/>
          <w:divBdr>
            <w:top w:val="none" w:sz="0" w:space="0" w:color="auto"/>
            <w:left w:val="none" w:sz="0" w:space="0" w:color="auto"/>
            <w:bottom w:val="none" w:sz="0" w:space="0" w:color="auto"/>
            <w:right w:val="none" w:sz="0" w:space="0" w:color="auto"/>
          </w:divBdr>
        </w:div>
        <w:div w:id="1701660123">
          <w:marLeft w:val="0"/>
          <w:marRight w:val="0"/>
          <w:marTop w:val="0"/>
          <w:marBottom w:val="0"/>
          <w:divBdr>
            <w:top w:val="none" w:sz="0" w:space="0" w:color="auto"/>
            <w:left w:val="none" w:sz="0" w:space="0" w:color="auto"/>
            <w:bottom w:val="none" w:sz="0" w:space="0" w:color="auto"/>
            <w:right w:val="none" w:sz="0" w:space="0" w:color="auto"/>
          </w:divBdr>
        </w:div>
        <w:div w:id="1951476624">
          <w:marLeft w:val="0"/>
          <w:marRight w:val="0"/>
          <w:marTop w:val="0"/>
          <w:marBottom w:val="0"/>
          <w:divBdr>
            <w:top w:val="none" w:sz="0" w:space="0" w:color="auto"/>
            <w:left w:val="none" w:sz="0" w:space="0" w:color="auto"/>
            <w:bottom w:val="none" w:sz="0" w:space="0" w:color="auto"/>
            <w:right w:val="none" w:sz="0" w:space="0" w:color="auto"/>
          </w:divBdr>
        </w:div>
        <w:div w:id="1132938297">
          <w:marLeft w:val="0"/>
          <w:marRight w:val="0"/>
          <w:marTop w:val="0"/>
          <w:marBottom w:val="0"/>
          <w:divBdr>
            <w:top w:val="none" w:sz="0" w:space="0" w:color="auto"/>
            <w:left w:val="none" w:sz="0" w:space="0" w:color="auto"/>
            <w:bottom w:val="none" w:sz="0" w:space="0" w:color="auto"/>
            <w:right w:val="none" w:sz="0" w:space="0" w:color="auto"/>
          </w:divBdr>
        </w:div>
        <w:div w:id="1816801903">
          <w:marLeft w:val="0"/>
          <w:marRight w:val="0"/>
          <w:marTop w:val="0"/>
          <w:marBottom w:val="0"/>
          <w:divBdr>
            <w:top w:val="none" w:sz="0" w:space="0" w:color="auto"/>
            <w:left w:val="none" w:sz="0" w:space="0" w:color="auto"/>
            <w:bottom w:val="none" w:sz="0" w:space="0" w:color="auto"/>
            <w:right w:val="none" w:sz="0" w:space="0" w:color="auto"/>
          </w:divBdr>
        </w:div>
        <w:div w:id="1836727302">
          <w:marLeft w:val="0"/>
          <w:marRight w:val="0"/>
          <w:marTop w:val="0"/>
          <w:marBottom w:val="0"/>
          <w:divBdr>
            <w:top w:val="none" w:sz="0" w:space="0" w:color="auto"/>
            <w:left w:val="none" w:sz="0" w:space="0" w:color="auto"/>
            <w:bottom w:val="none" w:sz="0" w:space="0" w:color="auto"/>
            <w:right w:val="none" w:sz="0" w:space="0" w:color="auto"/>
          </w:divBdr>
        </w:div>
        <w:div w:id="1452940260">
          <w:marLeft w:val="0"/>
          <w:marRight w:val="0"/>
          <w:marTop w:val="0"/>
          <w:marBottom w:val="0"/>
          <w:divBdr>
            <w:top w:val="none" w:sz="0" w:space="0" w:color="auto"/>
            <w:left w:val="none" w:sz="0" w:space="0" w:color="auto"/>
            <w:bottom w:val="none" w:sz="0" w:space="0" w:color="auto"/>
            <w:right w:val="none" w:sz="0" w:space="0" w:color="auto"/>
          </w:divBdr>
        </w:div>
        <w:div w:id="408385983">
          <w:marLeft w:val="0"/>
          <w:marRight w:val="0"/>
          <w:marTop w:val="0"/>
          <w:marBottom w:val="0"/>
          <w:divBdr>
            <w:top w:val="none" w:sz="0" w:space="0" w:color="auto"/>
            <w:left w:val="none" w:sz="0" w:space="0" w:color="auto"/>
            <w:bottom w:val="none" w:sz="0" w:space="0" w:color="auto"/>
            <w:right w:val="none" w:sz="0" w:space="0" w:color="auto"/>
          </w:divBdr>
        </w:div>
        <w:div w:id="842354258">
          <w:marLeft w:val="0"/>
          <w:marRight w:val="0"/>
          <w:marTop w:val="0"/>
          <w:marBottom w:val="0"/>
          <w:divBdr>
            <w:top w:val="none" w:sz="0" w:space="0" w:color="auto"/>
            <w:left w:val="none" w:sz="0" w:space="0" w:color="auto"/>
            <w:bottom w:val="none" w:sz="0" w:space="0" w:color="auto"/>
            <w:right w:val="none" w:sz="0" w:space="0" w:color="auto"/>
          </w:divBdr>
        </w:div>
        <w:div w:id="1342320891">
          <w:marLeft w:val="0"/>
          <w:marRight w:val="0"/>
          <w:marTop w:val="0"/>
          <w:marBottom w:val="0"/>
          <w:divBdr>
            <w:top w:val="none" w:sz="0" w:space="0" w:color="auto"/>
            <w:left w:val="none" w:sz="0" w:space="0" w:color="auto"/>
            <w:bottom w:val="none" w:sz="0" w:space="0" w:color="auto"/>
            <w:right w:val="none" w:sz="0" w:space="0" w:color="auto"/>
          </w:divBdr>
        </w:div>
        <w:div w:id="511336316">
          <w:marLeft w:val="0"/>
          <w:marRight w:val="0"/>
          <w:marTop w:val="0"/>
          <w:marBottom w:val="0"/>
          <w:divBdr>
            <w:top w:val="none" w:sz="0" w:space="0" w:color="auto"/>
            <w:left w:val="none" w:sz="0" w:space="0" w:color="auto"/>
            <w:bottom w:val="none" w:sz="0" w:space="0" w:color="auto"/>
            <w:right w:val="none" w:sz="0" w:space="0" w:color="auto"/>
          </w:divBdr>
        </w:div>
        <w:div w:id="715202423">
          <w:marLeft w:val="0"/>
          <w:marRight w:val="0"/>
          <w:marTop w:val="0"/>
          <w:marBottom w:val="0"/>
          <w:divBdr>
            <w:top w:val="none" w:sz="0" w:space="0" w:color="auto"/>
            <w:left w:val="none" w:sz="0" w:space="0" w:color="auto"/>
            <w:bottom w:val="none" w:sz="0" w:space="0" w:color="auto"/>
            <w:right w:val="none" w:sz="0" w:space="0" w:color="auto"/>
          </w:divBdr>
        </w:div>
        <w:div w:id="486674743">
          <w:marLeft w:val="0"/>
          <w:marRight w:val="0"/>
          <w:marTop w:val="0"/>
          <w:marBottom w:val="0"/>
          <w:divBdr>
            <w:top w:val="none" w:sz="0" w:space="0" w:color="auto"/>
            <w:left w:val="none" w:sz="0" w:space="0" w:color="auto"/>
            <w:bottom w:val="none" w:sz="0" w:space="0" w:color="auto"/>
            <w:right w:val="none" w:sz="0" w:space="0" w:color="auto"/>
          </w:divBdr>
        </w:div>
        <w:div w:id="39283869">
          <w:marLeft w:val="0"/>
          <w:marRight w:val="0"/>
          <w:marTop w:val="0"/>
          <w:marBottom w:val="0"/>
          <w:divBdr>
            <w:top w:val="none" w:sz="0" w:space="0" w:color="auto"/>
            <w:left w:val="none" w:sz="0" w:space="0" w:color="auto"/>
            <w:bottom w:val="none" w:sz="0" w:space="0" w:color="auto"/>
            <w:right w:val="none" w:sz="0" w:space="0" w:color="auto"/>
          </w:divBdr>
        </w:div>
        <w:div w:id="1530558536">
          <w:marLeft w:val="0"/>
          <w:marRight w:val="0"/>
          <w:marTop w:val="0"/>
          <w:marBottom w:val="0"/>
          <w:divBdr>
            <w:top w:val="none" w:sz="0" w:space="0" w:color="auto"/>
            <w:left w:val="none" w:sz="0" w:space="0" w:color="auto"/>
            <w:bottom w:val="none" w:sz="0" w:space="0" w:color="auto"/>
            <w:right w:val="none" w:sz="0" w:space="0" w:color="auto"/>
          </w:divBdr>
        </w:div>
      </w:divsChild>
    </w:div>
    <w:div w:id="1499888132">
      <w:bodyDiv w:val="1"/>
      <w:marLeft w:val="0"/>
      <w:marRight w:val="0"/>
      <w:marTop w:val="0"/>
      <w:marBottom w:val="0"/>
      <w:divBdr>
        <w:top w:val="none" w:sz="0" w:space="0" w:color="auto"/>
        <w:left w:val="none" w:sz="0" w:space="0" w:color="auto"/>
        <w:bottom w:val="none" w:sz="0" w:space="0" w:color="auto"/>
        <w:right w:val="none" w:sz="0" w:space="0" w:color="auto"/>
      </w:divBdr>
      <w:divsChild>
        <w:div w:id="1311131725">
          <w:marLeft w:val="0"/>
          <w:marRight w:val="0"/>
          <w:marTop w:val="0"/>
          <w:marBottom w:val="0"/>
          <w:divBdr>
            <w:top w:val="none" w:sz="0" w:space="0" w:color="auto"/>
            <w:left w:val="none" w:sz="0" w:space="0" w:color="auto"/>
            <w:bottom w:val="none" w:sz="0" w:space="0" w:color="auto"/>
            <w:right w:val="none" w:sz="0" w:space="0" w:color="auto"/>
          </w:divBdr>
        </w:div>
        <w:div w:id="1652901148">
          <w:marLeft w:val="0"/>
          <w:marRight w:val="0"/>
          <w:marTop w:val="0"/>
          <w:marBottom w:val="0"/>
          <w:divBdr>
            <w:top w:val="none" w:sz="0" w:space="0" w:color="auto"/>
            <w:left w:val="none" w:sz="0" w:space="0" w:color="auto"/>
            <w:bottom w:val="none" w:sz="0" w:space="0" w:color="auto"/>
            <w:right w:val="none" w:sz="0" w:space="0" w:color="auto"/>
          </w:divBdr>
        </w:div>
        <w:div w:id="1382903613">
          <w:marLeft w:val="0"/>
          <w:marRight w:val="0"/>
          <w:marTop w:val="0"/>
          <w:marBottom w:val="0"/>
          <w:divBdr>
            <w:top w:val="none" w:sz="0" w:space="0" w:color="auto"/>
            <w:left w:val="none" w:sz="0" w:space="0" w:color="auto"/>
            <w:bottom w:val="none" w:sz="0" w:space="0" w:color="auto"/>
            <w:right w:val="none" w:sz="0" w:space="0" w:color="auto"/>
          </w:divBdr>
        </w:div>
        <w:div w:id="468127917">
          <w:marLeft w:val="0"/>
          <w:marRight w:val="0"/>
          <w:marTop w:val="0"/>
          <w:marBottom w:val="0"/>
          <w:divBdr>
            <w:top w:val="none" w:sz="0" w:space="0" w:color="auto"/>
            <w:left w:val="none" w:sz="0" w:space="0" w:color="auto"/>
            <w:bottom w:val="none" w:sz="0" w:space="0" w:color="auto"/>
            <w:right w:val="none" w:sz="0" w:space="0" w:color="auto"/>
          </w:divBdr>
        </w:div>
        <w:div w:id="1009411775">
          <w:marLeft w:val="0"/>
          <w:marRight w:val="0"/>
          <w:marTop w:val="0"/>
          <w:marBottom w:val="0"/>
          <w:divBdr>
            <w:top w:val="none" w:sz="0" w:space="0" w:color="auto"/>
            <w:left w:val="none" w:sz="0" w:space="0" w:color="auto"/>
            <w:bottom w:val="none" w:sz="0" w:space="0" w:color="auto"/>
            <w:right w:val="none" w:sz="0" w:space="0" w:color="auto"/>
          </w:divBdr>
        </w:div>
        <w:div w:id="1341005679">
          <w:marLeft w:val="0"/>
          <w:marRight w:val="0"/>
          <w:marTop w:val="0"/>
          <w:marBottom w:val="0"/>
          <w:divBdr>
            <w:top w:val="none" w:sz="0" w:space="0" w:color="auto"/>
            <w:left w:val="none" w:sz="0" w:space="0" w:color="auto"/>
            <w:bottom w:val="none" w:sz="0" w:space="0" w:color="auto"/>
            <w:right w:val="none" w:sz="0" w:space="0" w:color="auto"/>
          </w:divBdr>
        </w:div>
        <w:div w:id="1849759242">
          <w:marLeft w:val="0"/>
          <w:marRight w:val="0"/>
          <w:marTop w:val="0"/>
          <w:marBottom w:val="0"/>
          <w:divBdr>
            <w:top w:val="none" w:sz="0" w:space="0" w:color="auto"/>
            <w:left w:val="none" w:sz="0" w:space="0" w:color="auto"/>
            <w:bottom w:val="none" w:sz="0" w:space="0" w:color="auto"/>
            <w:right w:val="none" w:sz="0" w:space="0" w:color="auto"/>
          </w:divBdr>
        </w:div>
        <w:div w:id="522790611">
          <w:marLeft w:val="0"/>
          <w:marRight w:val="0"/>
          <w:marTop w:val="0"/>
          <w:marBottom w:val="0"/>
          <w:divBdr>
            <w:top w:val="none" w:sz="0" w:space="0" w:color="auto"/>
            <w:left w:val="none" w:sz="0" w:space="0" w:color="auto"/>
            <w:bottom w:val="none" w:sz="0" w:space="0" w:color="auto"/>
            <w:right w:val="none" w:sz="0" w:space="0" w:color="auto"/>
          </w:divBdr>
        </w:div>
        <w:div w:id="2146895758">
          <w:marLeft w:val="0"/>
          <w:marRight w:val="0"/>
          <w:marTop w:val="0"/>
          <w:marBottom w:val="0"/>
          <w:divBdr>
            <w:top w:val="none" w:sz="0" w:space="0" w:color="auto"/>
            <w:left w:val="none" w:sz="0" w:space="0" w:color="auto"/>
            <w:bottom w:val="none" w:sz="0" w:space="0" w:color="auto"/>
            <w:right w:val="none" w:sz="0" w:space="0" w:color="auto"/>
          </w:divBdr>
        </w:div>
        <w:div w:id="1788154774">
          <w:marLeft w:val="0"/>
          <w:marRight w:val="0"/>
          <w:marTop w:val="0"/>
          <w:marBottom w:val="0"/>
          <w:divBdr>
            <w:top w:val="none" w:sz="0" w:space="0" w:color="auto"/>
            <w:left w:val="none" w:sz="0" w:space="0" w:color="auto"/>
            <w:bottom w:val="none" w:sz="0" w:space="0" w:color="auto"/>
            <w:right w:val="none" w:sz="0" w:space="0" w:color="auto"/>
          </w:divBdr>
        </w:div>
        <w:div w:id="1956398888">
          <w:marLeft w:val="0"/>
          <w:marRight w:val="0"/>
          <w:marTop w:val="0"/>
          <w:marBottom w:val="0"/>
          <w:divBdr>
            <w:top w:val="none" w:sz="0" w:space="0" w:color="auto"/>
            <w:left w:val="none" w:sz="0" w:space="0" w:color="auto"/>
            <w:bottom w:val="none" w:sz="0" w:space="0" w:color="auto"/>
            <w:right w:val="none" w:sz="0" w:space="0" w:color="auto"/>
          </w:divBdr>
        </w:div>
        <w:div w:id="1742286363">
          <w:marLeft w:val="0"/>
          <w:marRight w:val="0"/>
          <w:marTop w:val="0"/>
          <w:marBottom w:val="0"/>
          <w:divBdr>
            <w:top w:val="none" w:sz="0" w:space="0" w:color="auto"/>
            <w:left w:val="none" w:sz="0" w:space="0" w:color="auto"/>
            <w:bottom w:val="none" w:sz="0" w:space="0" w:color="auto"/>
            <w:right w:val="none" w:sz="0" w:space="0" w:color="auto"/>
          </w:divBdr>
        </w:div>
        <w:div w:id="1297952610">
          <w:marLeft w:val="0"/>
          <w:marRight w:val="0"/>
          <w:marTop w:val="0"/>
          <w:marBottom w:val="0"/>
          <w:divBdr>
            <w:top w:val="none" w:sz="0" w:space="0" w:color="auto"/>
            <w:left w:val="none" w:sz="0" w:space="0" w:color="auto"/>
            <w:bottom w:val="none" w:sz="0" w:space="0" w:color="auto"/>
            <w:right w:val="none" w:sz="0" w:space="0" w:color="auto"/>
          </w:divBdr>
        </w:div>
        <w:div w:id="1524246264">
          <w:marLeft w:val="0"/>
          <w:marRight w:val="0"/>
          <w:marTop w:val="0"/>
          <w:marBottom w:val="0"/>
          <w:divBdr>
            <w:top w:val="none" w:sz="0" w:space="0" w:color="auto"/>
            <w:left w:val="none" w:sz="0" w:space="0" w:color="auto"/>
            <w:bottom w:val="none" w:sz="0" w:space="0" w:color="auto"/>
            <w:right w:val="none" w:sz="0" w:space="0" w:color="auto"/>
          </w:divBdr>
        </w:div>
        <w:div w:id="352997307">
          <w:marLeft w:val="0"/>
          <w:marRight w:val="0"/>
          <w:marTop w:val="0"/>
          <w:marBottom w:val="0"/>
          <w:divBdr>
            <w:top w:val="none" w:sz="0" w:space="0" w:color="auto"/>
            <w:left w:val="none" w:sz="0" w:space="0" w:color="auto"/>
            <w:bottom w:val="none" w:sz="0" w:space="0" w:color="auto"/>
            <w:right w:val="none" w:sz="0" w:space="0" w:color="auto"/>
          </w:divBdr>
        </w:div>
        <w:div w:id="1636257622">
          <w:marLeft w:val="0"/>
          <w:marRight w:val="0"/>
          <w:marTop w:val="0"/>
          <w:marBottom w:val="0"/>
          <w:divBdr>
            <w:top w:val="none" w:sz="0" w:space="0" w:color="auto"/>
            <w:left w:val="none" w:sz="0" w:space="0" w:color="auto"/>
            <w:bottom w:val="none" w:sz="0" w:space="0" w:color="auto"/>
            <w:right w:val="none" w:sz="0" w:space="0" w:color="auto"/>
          </w:divBdr>
        </w:div>
        <w:div w:id="1069421901">
          <w:marLeft w:val="0"/>
          <w:marRight w:val="0"/>
          <w:marTop w:val="0"/>
          <w:marBottom w:val="0"/>
          <w:divBdr>
            <w:top w:val="none" w:sz="0" w:space="0" w:color="auto"/>
            <w:left w:val="none" w:sz="0" w:space="0" w:color="auto"/>
            <w:bottom w:val="none" w:sz="0" w:space="0" w:color="auto"/>
            <w:right w:val="none" w:sz="0" w:space="0" w:color="auto"/>
          </w:divBdr>
        </w:div>
        <w:div w:id="1204556118">
          <w:marLeft w:val="0"/>
          <w:marRight w:val="0"/>
          <w:marTop w:val="0"/>
          <w:marBottom w:val="0"/>
          <w:divBdr>
            <w:top w:val="none" w:sz="0" w:space="0" w:color="auto"/>
            <w:left w:val="none" w:sz="0" w:space="0" w:color="auto"/>
            <w:bottom w:val="none" w:sz="0" w:space="0" w:color="auto"/>
            <w:right w:val="none" w:sz="0" w:space="0" w:color="auto"/>
          </w:divBdr>
        </w:div>
        <w:div w:id="648049364">
          <w:marLeft w:val="0"/>
          <w:marRight w:val="0"/>
          <w:marTop w:val="0"/>
          <w:marBottom w:val="0"/>
          <w:divBdr>
            <w:top w:val="none" w:sz="0" w:space="0" w:color="auto"/>
            <w:left w:val="none" w:sz="0" w:space="0" w:color="auto"/>
            <w:bottom w:val="none" w:sz="0" w:space="0" w:color="auto"/>
            <w:right w:val="none" w:sz="0" w:space="0" w:color="auto"/>
          </w:divBdr>
        </w:div>
        <w:div w:id="1386106244">
          <w:marLeft w:val="0"/>
          <w:marRight w:val="0"/>
          <w:marTop w:val="0"/>
          <w:marBottom w:val="0"/>
          <w:divBdr>
            <w:top w:val="none" w:sz="0" w:space="0" w:color="auto"/>
            <w:left w:val="none" w:sz="0" w:space="0" w:color="auto"/>
            <w:bottom w:val="none" w:sz="0" w:space="0" w:color="auto"/>
            <w:right w:val="none" w:sz="0" w:space="0" w:color="auto"/>
          </w:divBdr>
        </w:div>
        <w:div w:id="1705671584">
          <w:marLeft w:val="0"/>
          <w:marRight w:val="0"/>
          <w:marTop w:val="0"/>
          <w:marBottom w:val="0"/>
          <w:divBdr>
            <w:top w:val="none" w:sz="0" w:space="0" w:color="auto"/>
            <w:left w:val="none" w:sz="0" w:space="0" w:color="auto"/>
            <w:bottom w:val="none" w:sz="0" w:space="0" w:color="auto"/>
            <w:right w:val="none" w:sz="0" w:space="0" w:color="auto"/>
          </w:divBdr>
        </w:div>
        <w:div w:id="1420567108">
          <w:marLeft w:val="0"/>
          <w:marRight w:val="0"/>
          <w:marTop w:val="0"/>
          <w:marBottom w:val="0"/>
          <w:divBdr>
            <w:top w:val="none" w:sz="0" w:space="0" w:color="auto"/>
            <w:left w:val="none" w:sz="0" w:space="0" w:color="auto"/>
            <w:bottom w:val="none" w:sz="0" w:space="0" w:color="auto"/>
            <w:right w:val="none" w:sz="0" w:space="0" w:color="auto"/>
          </w:divBdr>
        </w:div>
        <w:div w:id="232735837">
          <w:marLeft w:val="0"/>
          <w:marRight w:val="0"/>
          <w:marTop w:val="0"/>
          <w:marBottom w:val="0"/>
          <w:divBdr>
            <w:top w:val="none" w:sz="0" w:space="0" w:color="auto"/>
            <w:left w:val="none" w:sz="0" w:space="0" w:color="auto"/>
            <w:bottom w:val="none" w:sz="0" w:space="0" w:color="auto"/>
            <w:right w:val="none" w:sz="0" w:space="0" w:color="auto"/>
          </w:divBdr>
        </w:div>
        <w:div w:id="1205217531">
          <w:marLeft w:val="0"/>
          <w:marRight w:val="0"/>
          <w:marTop w:val="0"/>
          <w:marBottom w:val="0"/>
          <w:divBdr>
            <w:top w:val="none" w:sz="0" w:space="0" w:color="auto"/>
            <w:left w:val="none" w:sz="0" w:space="0" w:color="auto"/>
            <w:bottom w:val="none" w:sz="0" w:space="0" w:color="auto"/>
            <w:right w:val="none" w:sz="0" w:space="0" w:color="auto"/>
          </w:divBdr>
        </w:div>
        <w:div w:id="808473490">
          <w:marLeft w:val="0"/>
          <w:marRight w:val="0"/>
          <w:marTop w:val="0"/>
          <w:marBottom w:val="0"/>
          <w:divBdr>
            <w:top w:val="none" w:sz="0" w:space="0" w:color="auto"/>
            <w:left w:val="none" w:sz="0" w:space="0" w:color="auto"/>
            <w:bottom w:val="none" w:sz="0" w:space="0" w:color="auto"/>
            <w:right w:val="none" w:sz="0" w:space="0" w:color="auto"/>
          </w:divBdr>
        </w:div>
        <w:div w:id="967131468">
          <w:marLeft w:val="0"/>
          <w:marRight w:val="0"/>
          <w:marTop w:val="0"/>
          <w:marBottom w:val="0"/>
          <w:divBdr>
            <w:top w:val="none" w:sz="0" w:space="0" w:color="auto"/>
            <w:left w:val="none" w:sz="0" w:space="0" w:color="auto"/>
            <w:bottom w:val="none" w:sz="0" w:space="0" w:color="auto"/>
            <w:right w:val="none" w:sz="0" w:space="0" w:color="auto"/>
          </w:divBdr>
        </w:div>
        <w:div w:id="208415821">
          <w:marLeft w:val="0"/>
          <w:marRight w:val="0"/>
          <w:marTop w:val="0"/>
          <w:marBottom w:val="0"/>
          <w:divBdr>
            <w:top w:val="none" w:sz="0" w:space="0" w:color="auto"/>
            <w:left w:val="none" w:sz="0" w:space="0" w:color="auto"/>
            <w:bottom w:val="none" w:sz="0" w:space="0" w:color="auto"/>
            <w:right w:val="none" w:sz="0" w:space="0" w:color="auto"/>
          </w:divBdr>
        </w:div>
        <w:div w:id="280499076">
          <w:marLeft w:val="0"/>
          <w:marRight w:val="0"/>
          <w:marTop w:val="0"/>
          <w:marBottom w:val="0"/>
          <w:divBdr>
            <w:top w:val="none" w:sz="0" w:space="0" w:color="auto"/>
            <w:left w:val="none" w:sz="0" w:space="0" w:color="auto"/>
            <w:bottom w:val="none" w:sz="0" w:space="0" w:color="auto"/>
            <w:right w:val="none" w:sz="0" w:space="0" w:color="auto"/>
          </w:divBdr>
        </w:div>
        <w:div w:id="1125461095">
          <w:marLeft w:val="0"/>
          <w:marRight w:val="0"/>
          <w:marTop w:val="0"/>
          <w:marBottom w:val="0"/>
          <w:divBdr>
            <w:top w:val="none" w:sz="0" w:space="0" w:color="auto"/>
            <w:left w:val="none" w:sz="0" w:space="0" w:color="auto"/>
            <w:bottom w:val="none" w:sz="0" w:space="0" w:color="auto"/>
            <w:right w:val="none" w:sz="0" w:space="0" w:color="auto"/>
          </w:divBdr>
        </w:div>
        <w:div w:id="2107457306">
          <w:marLeft w:val="0"/>
          <w:marRight w:val="0"/>
          <w:marTop w:val="0"/>
          <w:marBottom w:val="0"/>
          <w:divBdr>
            <w:top w:val="none" w:sz="0" w:space="0" w:color="auto"/>
            <w:left w:val="none" w:sz="0" w:space="0" w:color="auto"/>
            <w:bottom w:val="none" w:sz="0" w:space="0" w:color="auto"/>
            <w:right w:val="none" w:sz="0" w:space="0" w:color="auto"/>
          </w:divBdr>
        </w:div>
        <w:div w:id="1977484413">
          <w:marLeft w:val="0"/>
          <w:marRight w:val="0"/>
          <w:marTop w:val="0"/>
          <w:marBottom w:val="0"/>
          <w:divBdr>
            <w:top w:val="none" w:sz="0" w:space="0" w:color="auto"/>
            <w:left w:val="none" w:sz="0" w:space="0" w:color="auto"/>
            <w:bottom w:val="none" w:sz="0" w:space="0" w:color="auto"/>
            <w:right w:val="none" w:sz="0" w:space="0" w:color="auto"/>
          </w:divBdr>
        </w:div>
        <w:div w:id="1021860960">
          <w:marLeft w:val="0"/>
          <w:marRight w:val="0"/>
          <w:marTop w:val="0"/>
          <w:marBottom w:val="0"/>
          <w:divBdr>
            <w:top w:val="none" w:sz="0" w:space="0" w:color="auto"/>
            <w:left w:val="none" w:sz="0" w:space="0" w:color="auto"/>
            <w:bottom w:val="none" w:sz="0" w:space="0" w:color="auto"/>
            <w:right w:val="none" w:sz="0" w:space="0" w:color="auto"/>
          </w:divBdr>
        </w:div>
        <w:div w:id="2008824757">
          <w:marLeft w:val="0"/>
          <w:marRight w:val="0"/>
          <w:marTop w:val="0"/>
          <w:marBottom w:val="0"/>
          <w:divBdr>
            <w:top w:val="none" w:sz="0" w:space="0" w:color="auto"/>
            <w:left w:val="none" w:sz="0" w:space="0" w:color="auto"/>
            <w:bottom w:val="none" w:sz="0" w:space="0" w:color="auto"/>
            <w:right w:val="none" w:sz="0" w:space="0" w:color="auto"/>
          </w:divBdr>
        </w:div>
        <w:div w:id="790634341">
          <w:marLeft w:val="0"/>
          <w:marRight w:val="0"/>
          <w:marTop w:val="0"/>
          <w:marBottom w:val="0"/>
          <w:divBdr>
            <w:top w:val="none" w:sz="0" w:space="0" w:color="auto"/>
            <w:left w:val="none" w:sz="0" w:space="0" w:color="auto"/>
            <w:bottom w:val="none" w:sz="0" w:space="0" w:color="auto"/>
            <w:right w:val="none" w:sz="0" w:space="0" w:color="auto"/>
          </w:divBdr>
        </w:div>
        <w:div w:id="1748188304">
          <w:marLeft w:val="0"/>
          <w:marRight w:val="0"/>
          <w:marTop w:val="0"/>
          <w:marBottom w:val="0"/>
          <w:divBdr>
            <w:top w:val="none" w:sz="0" w:space="0" w:color="auto"/>
            <w:left w:val="none" w:sz="0" w:space="0" w:color="auto"/>
            <w:bottom w:val="none" w:sz="0" w:space="0" w:color="auto"/>
            <w:right w:val="none" w:sz="0" w:space="0" w:color="auto"/>
          </w:divBdr>
        </w:div>
        <w:div w:id="1849325801">
          <w:marLeft w:val="0"/>
          <w:marRight w:val="0"/>
          <w:marTop w:val="0"/>
          <w:marBottom w:val="0"/>
          <w:divBdr>
            <w:top w:val="none" w:sz="0" w:space="0" w:color="auto"/>
            <w:left w:val="none" w:sz="0" w:space="0" w:color="auto"/>
            <w:bottom w:val="none" w:sz="0" w:space="0" w:color="auto"/>
            <w:right w:val="none" w:sz="0" w:space="0" w:color="auto"/>
          </w:divBdr>
        </w:div>
        <w:div w:id="768543389">
          <w:marLeft w:val="0"/>
          <w:marRight w:val="0"/>
          <w:marTop w:val="0"/>
          <w:marBottom w:val="0"/>
          <w:divBdr>
            <w:top w:val="none" w:sz="0" w:space="0" w:color="auto"/>
            <w:left w:val="none" w:sz="0" w:space="0" w:color="auto"/>
            <w:bottom w:val="none" w:sz="0" w:space="0" w:color="auto"/>
            <w:right w:val="none" w:sz="0" w:space="0" w:color="auto"/>
          </w:divBdr>
        </w:div>
        <w:div w:id="885683316">
          <w:marLeft w:val="0"/>
          <w:marRight w:val="0"/>
          <w:marTop w:val="0"/>
          <w:marBottom w:val="0"/>
          <w:divBdr>
            <w:top w:val="none" w:sz="0" w:space="0" w:color="auto"/>
            <w:left w:val="none" w:sz="0" w:space="0" w:color="auto"/>
            <w:bottom w:val="none" w:sz="0" w:space="0" w:color="auto"/>
            <w:right w:val="none" w:sz="0" w:space="0" w:color="auto"/>
          </w:divBdr>
        </w:div>
        <w:div w:id="605190033">
          <w:marLeft w:val="0"/>
          <w:marRight w:val="0"/>
          <w:marTop w:val="0"/>
          <w:marBottom w:val="0"/>
          <w:divBdr>
            <w:top w:val="none" w:sz="0" w:space="0" w:color="auto"/>
            <w:left w:val="none" w:sz="0" w:space="0" w:color="auto"/>
            <w:bottom w:val="none" w:sz="0" w:space="0" w:color="auto"/>
            <w:right w:val="none" w:sz="0" w:space="0" w:color="auto"/>
          </w:divBdr>
        </w:div>
        <w:div w:id="24237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welfare/disabili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vingevidence.wordpress.com/2011/05/05/access-intimacy-the-missing-link/"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ox.ac.uk/project/neurodivergent-education-for-students-teaching-learning-nest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cademic.admin.ox.ac.uk/disability/student-support-plan" TargetMode="External"/><Relationship Id="rId4" Type="http://schemas.openxmlformats.org/officeDocument/2006/relationships/webSettings" Target="webSettings.xml"/><Relationship Id="rId9" Type="http://schemas.openxmlformats.org/officeDocument/2006/relationships/hyperlink" Target="https://www.ox.ac.uk/students/welfare/disability/need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3215</Characters>
  <Application>Microsoft Office Word</Application>
  <DocSecurity>12</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2025-06-06T19:53:00Z</dcterms:created>
  <dcterms:modified xsi:type="dcterms:W3CDTF">2025-06-11T15:18:00Z</dcterms:modified>
</cp:coreProperties>
</file>